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6C" w:rsidRPr="00564068" w:rsidRDefault="0098056C" w:rsidP="0098056C">
      <w:pPr>
        <w:pStyle w:val="Recuodecorpodetexto3"/>
        <w:spacing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564068">
        <w:rPr>
          <w:rFonts w:asciiTheme="minorHAnsi" w:hAnsiTheme="minorHAnsi" w:cs="Arial"/>
          <w:b/>
          <w:sz w:val="22"/>
          <w:szCs w:val="22"/>
        </w:rPr>
        <w:t>UNIVERSIDADE FEDERAL DE SANTA CATARINA</w:t>
      </w:r>
    </w:p>
    <w:p w:rsidR="0098056C" w:rsidRPr="00564068" w:rsidRDefault="0098056C" w:rsidP="0098056C">
      <w:pPr>
        <w:pStyle w:val="Recuodecorpodetexto3"/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564068">
        <w:rPr>
          <w:rFonts w:asciiTheme="minorHAnsi" w:hAnsiTheme="minorHAnsi" w:cs="Arial"/>
          <w:sz w:val="22"/>
          <w:szCs w:val="22"/>
        </w:rPr>
        <w:t>CAMPUS UNIVERSITÁRIO JOÃO DAVID FERREIRA LIMA - TRINDADE</w:t>
      </w:r>
    </w:p>
    <w:p w:rsidR="0098056C" w:rsidRPr="00564068" w:rsidRDefault="0098056C" w:rsidP="0098056C">
      <w:pPr>
        <w:pStyle w:val="Recuodecorpodetexto3"/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564068">
        <w:rPr>
          <w:rFonts w:asciiTheme="minorHAnsi" w:hAnsiTheme="minorHAnsi" w:cs="Arial"/>
          <w:sz w:val="22"/>
          <w:szCs w:val="22"/>
        </w:rPr>
        <w:t>CEP: 88040-900 - FLORIANÓPOLIS - SC</w:t>
      </w:r>
    </w:p>
    <w:p w:rsidR="0098056C" w:rsidRPr="00564068" w:rsidRDefault="0098056C" w:rsidP="0098056C">
      <w:pPr>
        <w:pStyle w:val="Recuodecorpodetexto3"/>
        <w:spacing w:line="360" w:lineRule="auto"/>
        <w:ind w:left="0" w:firstLine="0"/>
        <w:rPr>
          <w:rFonts w:asciiTheme="minorHAnsi" w:hAnsiTheme="minorHAnsi" w:cs="Arial"/>
          <w:color w:val="000000"/>
          <w:sz w:val="22"/>
          <w:szCs w:val="22"/>
        </w:rPr>
      </w:pPr>
      <w:r w:rsidRPr="00564068">
        <w:rPr>
          <w:rFonts w:asciiTheme="minorHAnsi" w:hAnsiTheme="minorHAnsi" w:cs="Arial"/>
          <w:sz w:val="22"/>
          <w:szCs w:val="22"/>
        </w:rPr>
        <w:t>TELEFONE: (48) 3721-4202</w:t>
      </w:r>
    </w:p>
    <w:p w:rsidR="0098056C" w:rsidRPr="00564068" w:rsidRDefault="0098056C" w:rsidP="0098056C">
      <w:pPr>
        <w:pStyle w:val="Recuodecorpodetexto3"/>
        <w:spacing w:line="360" w:lineRule="auto"/>
        <w:ind w:left="0" w:firstLine="0"/>
        <w:rPr>
          <w:rFonts w:asciiTheme="minorHAnsi" w:hAnsiTheme="minorHAnsi" w:cs="Arial"/>
          <w:color w:val="000000"/>
          <w:sz w:val="22"/>
          <w:szCs w:val="22"/>
        </w:rPr>
      </w:pPr>
      <w:r w:rsidRPr="00564068">
        <w:rPr>
          <w:rFonts w:asciiTheme="minorHAnsi" w:hAnsiTheme="minorHAnsi" w:cs="Arial"/>
          <w:color w:val="000000"/>
          <w:sz w:val="22"/>
          <w:szCs w:val="22"/>
        </w:rPr>
        <w:t>ATA da reunião Comissão Sustentabilidade</w:t>
      </w:r>
    </w:p>
    <w:p w:rsidR="0098056C" w:rsidRPr="00564068" w:rsidRDefault="0098056C" w:rsidP="0098056C">
      <w:pPr>
        <w:pStyle w:val="Recuodecorpodetexto3"/>
        <w:spacing w:line="360" w:lineRule="auto"/>
        <w:ind w:left="0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8056C" w:rsidRPr="00564068" w:rsidRDefault="0098056C" w:rsidP="0098056C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cs="Arial"/>
          <w:color w:val="000000"/>
        </w:rPr>
      </w:pPr>
      <w:r w:rsidRPr="00564068">
        <w:rPr>
          <w:rFonts w:cs="Arial"/>
          <w:color w:val="000000"/>
        </w:rPr>
        <w:t>16ª ata da Reunião da Comissão de Sustentabilidade (CS), realizada no dia 22 de dezembro de 2015, às 8 horas, no Ático da Reitoria II.</w:t>
      </w:r>
    </w:p>
    <w:p w:rsidR="0098056C" w:rsidRPr="00564068" w:rsidRDefault="0098056C" w:rsidP="0098056C">
      <w:pPr>
        <w:spacing w:line="360" w:lineRule="auto"/>
        <w:jc w:val="both"/>
        <w:rPr>
          <w:rFonts w:cs="Arial"/>
        </w:rPr>
      </w:pPr>
      <w:r w:rsidRPr="00564068">
        <w:rPr>
          <w:rFonts w:cs="Arial"/>
        </w:rPr>
        <w:t>Estavam presentes os seguintes membros:</w:t>
      </w:r>
    </w:p>
    <w:tbl>
      <w:tblPr>
        <w:tblW w:w="985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227"/>
        <w:gridCol w:w="3537"/>
        <w:gridCol w:w="3092"/>
      </w:tblGrid>
      <w:tr w:rsidR="0098056C" w:rsidRPr="00564068" w:rsidTr="008045EA">
        <w:trPr>
          <w:trHeight w:val="354"/>
        </w:trPr>
        <w:tc>
          <w:tcPr>
            <w:tcW w:w="3227" w:type="dxa"/>
            <w:tcBorders>
              <w:top w:val="single" w:sz="12" w:space="0" w:color="008080"/>
              <w:left w:val="single" w:sz="6" w:space="0" w:color="00808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564068">
              <w:rPr>
                <w:rFonts w:cs="Arial"/>
                <w:b/>
                <w:bCs/>
                <w:i/>
                <w:iCs/>
                <w:color w:val="800000"/>
              </w:rPr>
              <w:t>NOME</w:t>
            </w:r>
          </w:p>
        </w:tc>
        <w:tc>
          <w:tcPr>
            <w:tcW w:w="3537" w:type="dxa"/>
            <w:tcBorders>
              <w:top w:val="single" w:sz="12" w:space="0" w:color="008080"/>
              <w:left w:val="nil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564068">
              <w:rPr>
                <w:rFonts w:cs="Arial"/>
                <w:b/>
                <w:bCs/>
                <w:i/>
                <w:iCs/>
                <w:color w:val="800000"/>
              </w:rPr>
              <w:t>E-MAIL</w:t>
            </w:r>
          </w:p>
        </w:tc>
        <w:tc>
          <w:tcPr>
            <w:tcW w:w="3092" w:type="dxa"/>
            <w:tcBorders>
              <w:top w:val="single" w:sz="12" w:space="0" w:color="008080"/>
              <w:left w:val="nil"/>
              <w:bottom w:val="single" w:sz="6" w:space="0" w:color="000000"/>
              <w:right w:val="single" w:sz="6" w:space="0" w:color="008080"/>
            </w:tcBorders>
            <w:shd w:val="solid" w:color="C0C0C0" w:fill="FFFFF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564068">
              <w:rPr>
                <w:rFonts w:cs="Arial"/>
                <w:b/>
                <w:bCs/>
                <w:i/>
                <w:iCs/>
                <w:color w:val="800000"/>
              </w:rPr>
              <w:t>UNIDADE</w:t>
            </w:r>
          </w:p>
        </w:tc>
      </w:tr>
      <w:tr w:rsidR="0098056C" w:rsidRPr="00564068" w:rsidTr="008045EA">
        <w:trPr>
          <w:trHeight w:val="341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Marina Carrieri de Souza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marina.carrieri@ufsc.br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CGA/PROPLAN</w:t>
            </w:r>
          </w:p>
        </w:tc>
      </w:tr>
      <w:tr w:rsidR="0098056C" w:rsidRPr="00564068" w:rsidTr="008045EA">
        <w:trPr>
          <w:trHeight w:val="707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Fernando Soares Pinto Sant’Anna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f.santanna@ufsc.br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ENS/ CTC CGA/PROPLAN</w:t>
            </w:r>
          </w:p>
        </w:tc>
      </w:tr>
      <w:tr w:rsidR="0098056C" w:rsidRPr="00564068" w:rsidTr="008045EA">
        <w:trPr>
          <w:trHeight w:val="341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Rodrigo Gonçalves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rodrigo.g@ufsc.br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SETIC</w:t>
            </w:r>
          </w:p>
        </w:tc>
      </w:tr>
      <w:tr w:rsidR="0098056C" w:rsidRPr="00564068" w:rsidTr="008045EA">
        <w:trPr>
          <w:trHeight w:val="354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Gabriela Mota Zampieri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gabriela.zampieri@ufsc.br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CGA/PROPLAN</w:t>
            </w:r>
          </w:p>
        </w:tc>
      </w:tr>
      <w:tr w:rsidR="0098056C" w:rsidRPr="00564068" w:rsidTr="008045EA">
        <w:trPr>
          <w:trHeight w:val="328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  <w:hideMark/>
          </w:tcPr>
          <w:p w:rsidR="0098056C" w:rsidRPr="00564068" w:rsidRDefault="006C45C3" w:rsidP="006C45C3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Carlos Alberto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56C" w:rsidRPr="00564068" w:rsidRDefault="006C45C3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Carlos.alberto</w:t>
            </w:r>
            <w:r w:rsidR="0098056C" w:rsidRPr="00564068">
              <w:rPr>
                <w:rFonts w:cs="Arial"/>
              </w:rPr>
              <w:t>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  <w:hideMark/>
          </w:tcPr>
          <w:p w:rsidR="0098056C" w:rsidRPr="00564068" w:rsidRDefault="006C45C3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DAS/SEGESP</w:t>
            </w:r>
          </w:p>
        </w:tc>
      </w:tr>
      <w:tr w:rsidR="0098056C" w:rsidRPr="00564068" w:rsidTr="008045EA">
        <w:trPr>
          <w:trHeight w:val="328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Camila Poeta Mangrich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camila.poeta@ufsc.br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DPAE</w:t>
            </w:r>
          </w:p>
        </w:tc>
      </w:tr>
      <w:tr w:rsidR="0098056C" w:rsidRPr="00564068" w:rsidTr="008045EA">
        <w:trPr>
          <w:trHeight w:val="658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Leila da Silva Cardoso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leila.sc@ufsc.br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  <w:hideMark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DPAE</w:t>
            </w:r>
          </w:p>
        </w:tc>
      </w:tr>
      <w:tr w:rsidR="0098056C" w:rsidRPr="00564068" w:rsidTr="008045EA">
        <w:trPr>
          <w:trHeight w:val="424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Leonardo Reynaldo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8056C" w:rsidRPr="00564068" w:rsidRDefault="0022679B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l</w:t>
            </w:r>
            <w:r w:rsidR="0098056C" w:rsidRPr="00564068">
              <w:rPr>
                <w:rFonts w:eastAsia="Times New Roman" w:cs="Arial"/>
              </w:rPr>
              <w:t>eonardo.reynaldo@ufsc.br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98056C" w:rsidRPr="00564068" w:rsidRDefault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DGC</w:t>
            </w:r>
          </w:p>
        </w:tc>
      </w:tr>
      <w:tr w:rsidR="0098056C" w:rsidRPr="00564068" w:rsidTr="008045EA">
        <w:trPr>
          <w:trHeight w:val="424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98056C" w:rsidRPr="00564068" w:rsidRDefault="0098056C" w:rsidP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Monique Regina Bayestorff Monguillhot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056C" w:rsidRPr="00564068" w:rsidRDefault="0098056C" w:rsidP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monique.bayerstorf@ufsc.br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98056C" w:rsidRPr="00564068" w:rsidRDefault="0022679B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DPGI</w:t>
            </w:r>
          </w:p>
        </w:tc>
      </w:tr>
      <w:tr w:rsidR="0022679B" w:rsidRPr="00564068" w:rsidTr="008045EA">
        <w:trPr>
          <w:trHeight w:val="424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</w:tcPr>
          <w:p w:rsidR="0022679B" w:rsidRPr="00564068" w:rsidRDefault="0022679B" w:rsidP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Elizabete Gomes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679B" w:rsidRPr="00564068" w:rsidRDefault="0022679B" w:rsidP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e.gomes@ufsc.br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22679B" w:rsidRPr="00564068" w:rsidRDefault="0022679B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CCP</w:t>
            </w:r>
          </w:p>
        </w:tc>
      </w:tr>
      <w:tr w:rsidR="0022679B" w:rsidRPr="00564068" w:rsidTr="008045EA">
        <w:trPr>
          <w:trHeight w:val="424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22679B" w:rsidRPr="00564068" w:rsidRDefault="0022679B" w:rsidP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Gilberto Caye Daudt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679B" w:rsidRPr="00564068" w:rsidRDefault="0022679B" w:rsidP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gilberto.cd@ufsc.br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22679B" w:rsidRPr="00564068" w:rsidRDefault="0022679B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DMPI</w:t>
            </w:r>
          </w:p>
        </w:tc>
      </w:tr>
      <w:tr w:rsidR="0022679B" w:rsidRPr="00564068" w:rsidTr="008045EA">
        <w:trPr>
          <w:trHeight w:val="424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</w:tcPr>
          <w:p w:rsidR="0022679B" w:rsidRPr="00564068" w:rsidRDefault="0022679B" w:rsidP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Thaianna E. Cardoso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679B" w:rsidRPr="00564068" w:rsidRDefault="0022679B" w:rsidP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thainnacardoso@gmail.com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22679B" w:rsidRPr="00564068" w:rsidRDefault="0022679B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 xml:space="preserve">Representante dos </w:t>
            </w:r>
            <w:r w:rsidR="00EE1F00" w:rsidRPr="00564068">
              <w:rPr>
                <w:rFonts w:eastAsia="Times New Roman" w:cs="Arial"/>
              </w:rPr>
              <w:t>Estudante</w:t>
            </w:r>
          </w:p>
        </w:tc>
      </w:tr>
      <w:tr w:rsidR="00EE1F00" w:rsidRPr="00564068" w:rsidTr="008045EA">
        <w:trPr>
          <w:trHeight w:val="424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EE1F00" w:rsidRPr="00564068" w:rsidRDefault="006C45C3" w:rsidP="006C45C3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Carolina A. Fernandes Ferreira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F00" w:rsidRPr="00564068" w:rsidRDefault="006C45C3" w:rsidP="0098056C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Carolina.fernandes@ufsc.br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EE1F00" w:rsidRPr="00564068" w:rsidRDefault="006C45C3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CGA/PROPLAN</w:t>
            </w:r>
          </w:p>
        </w:tc>
      </w:tr>
      <w:tr w:rsidR="00F90B19" w:rsidRPr="00564068" w:rsidTr="008045EA">
        <w:trPr>
          <w:trHeight w:val="424"/>
        </w:trPr>
        <w:tc>
          <w:tcPr>
            <w:tcW w:w="3227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F90B19" w:rsidRPr="00564068" w:rsidRDefault="00F90B19" w:rsidP="00F90B19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lastRenderedPageBreak/>
              <w:t>Thayse Moreira Monguilhott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0B19" w:rsidRPr="00564068" w:rsidRDefault="00F90B19" w:rsidP="0098056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thayse.monguilhott@ufsc.br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F90B19" w:rsidRPr="00564068" w:rsidRDefault="00F90B19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CPUS/DAS</w:t>
            </w:r>
          </w:p>
        </w:tc>
      </w:tr>
      <w:tr w:rsidR="00F90B19" w:rsidRPr="00564068" w:rsidTr="008045EA">
        <w:trPr>
          <w:trHeight w:val="424"/>
        </w:trPr>
        <w:tc>
          <w:tcPr>
            <w:tcW w:w="3227" w:type="dxa"/>
            <w:tcBorders>
              <w:top w:val="nil"/>
              <w:left w:val="single" w:sz="6" w:space="0" w:color="008080"/>
              <w:bottom w:val="single" w:sz="12" w:space="0" w:color="008080"/>
              <w:right w:val="nil"/>
            </w:tcBorders>
            <w:shd w:val="clear" w:color="auto" w:fill="BFBFBF" w:themeFill="background1" w:themeFillShade="BF"/>
          </w:tcPr>
          <w:p w:rsidR="00F90B19" w:rsidRPr="00564068" w:rsidRDefault="00F90B19" w:rsidP="00F90B19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Nicole Lunardi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BFBFBF" w:themeFill="background1" w:themeFillShade="BF"/>
          </w:tcPr>
          <w:p w:rsidR="00F90B19" w:rsidRPr="00564068" w:rsidRDefault="00EC57C7" w:rsidP="00EC57C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n</w:t>
            </w:r>
            <w:r w:rsidR="00F90B19" w:rsidRPr="00564068">
              <w:rPr>
                <w:rFonts w:eastAsia="Times New Roman" w:cs="Arial"/>
              </w:rPr>
              <w:t>icol</w:t>
            </w:r>
            <w:r w:rsidRPr="00564068">
              <w:rPr>
                <w:rFonts w:eastAsia="Times New Roman" w:cs="Arial"/>
              </w:rPr>
              <w:t>e</w:t>
            </w:r>
            <w:r w:rsidR="00F90B19" w:rsidRPr="00564068">
              <w:rPr>
                <w:rFonts w:eastAsia="Times New Roman" w:cs="Arial"/>
              </w:rPr>
              <w:t>.f.lunardi@gmail.com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12" w:space="0" w:color="008080"/>
              <w:right w:val="single" w:sz="6" w:space="0" w:color="008080"/>
            </w:tcBorders>
            <w:shd w:val="clear" w:color="auto" w:fill="BFBFBF" w:themeFill="background1" w:themeFillShade="BF"/>
          </w:tcPr>
          <w:p w:rsidR="00F90B19" w:rsidRPr="00564068" w:rsidRDefault="00F90B19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CGA/bolsista</w:t>
            </w:r>
          </w:p>
        </w:tc>
      </w:tr>
    </w:tbl>
    <w:p w:rsidR="00F90B19" w:rsidRPr="00564068" w:rsidRDefault="00F90B19" w:rsidP="00F90B19">
      <w:pPr>
        <w:ind w:firstLine="708"/>
        <w:jc w:val="both"/>
      </w:pPr>
    </w:p>
    <w:p w:rsidR="00F90B19" w:rsidRDefault="006C45C3" w:rsidP="00564068">
      <w:pPr>
        <w:ind w:firstLine="708"/>
        <w:jc w:val="both"/>
      </w:pPr>
      <w:r>
        <w:t>A Sra. Carolina e a Sra</w:t>
      </w:r>
      <w:r w:rsidR="00F90B19" w:rsidRPr="00564068">
        <w:t>. Gabriela abri</w:t>
      </w:r>
      <w:r w:rsidR="00EC57C7" w:rsidRPr="00564068">
        <w:t>ram</w:t>
      </w:r>
      <w:r w:rsidR="00F90B19" w:rsidRPr="00564068">
        <w:t xml:space="preserve"> a reunião apresentado a</w:t>
      </w:r>
      <w:r w:rsidR="00EC57C7" w:rsidRPr="00564068">
        <w:t xml:space="preserve"> </w:t>
      </w:r>
      <w:r w:rsidR="00F90B19" w:rsidRPr="00564068">
        <w:t>nova representante dos estudantes, a</w:t>
      </w:r>
      <w:r w:rsidR="00154A08" w:rsidRPr="00564068">
        <w:t xml:space="preserve"> Sra. </w:t>
      </w:r>
      <w:r w:rsidR="00F90B19" w:rsidRPr="00564068">
        <w:t>Thaianna, que já h</w:t>
      </w:r>
      <w:r w:rsidR="00EC57C7" w:rsidRPr="00564068">
        <w:t>avia sido escolhida pelo grupo nas reuniões anteriores.</w:t>
      </w:r>
    </w:p>
    <w:p w:rsidR="006C45C3" w:rsidRPr="00564068" w:rsidRDefault="006C45C3" w:rsidP="00564068">
      <w:pPr>
        <w:ind w:firstLine="708"/>
        <w:jc w:val="both"/>
      </w:pPr>
      <w:r>
        <w:t>A Sra. Thaianna informou que o frei da paróquia da UFSC possui interesse em participar das reuniões, pois faz diversos trabalhos na área de sustentabilidade na comunidade das proximidades da UFSC e poderia colaborar, além de entender o que a universidade faz e pretende fazer com relação ao assunto. Todos se mostraram favoráveis à participação do frei, porém como convidado e não integrante da Comissão. A Sra. Thaianna tentou contato, contudo não obteve sucesso e se comprometeu a informa-lo sobre a data da próxima reunião.</w:t>
      </w:r>
    </w:p>
    <w:p w:rsidR="00EC57C7" w:rsidRPr="00564068" w:rsidRDefault="00F90B19" w:rsidP="00564068">
      <w:pPr>
        <w:ind w:firstLine="708"/>
        <w:jc w:val="both"/>
      </w:pPr>
      <w:r w:rsidRPr="00564068">
        <w:t>Em seguida explicou-se que nessa reunião seria trabalhado o eixo qualidade de vida</w:t>
      </w:r>
      <w:r w:rsidR="00EC57C7" w:rsidRPr="00564068">
        <w:t xml:space="preserve"> e que a </w:t>
      </w:r>
      <w:r w:rsidR="00154A08" w:rsidRPr="00564068">
        <w:t>C</w:t>
      </w:r>
      <w:r w:rsidR="00EC57C7" w:rsidRPr="00564068">
        <w:t>GA</w:t>
      </w:r>
      <w:r w:rsidR="00154A08" w:rsidRPr="00564068">
        <w:t xml:space="preserve"> elaborou</w:t>
      </w:r>
      <w:r w:rsidR="006C45C3">
        <w:t>,</w:t>
      </w:r>
      <w:r w:rsidR="00EC57C7" w:rsidRPr="00564068">
        <w:t xml:space="preserve"> com base </w:t>
      </w:r>
      <w:r w:rsidR="00154A08" w:rsidRPr="00564068">
        <w:t>no PLS das outras instituições e</w:t>
      </w:r>
      <w:r w:rsidR="00EC57C7" w:rsidRPr="00564068">
        <w:t xml:space="preserve"> diagnóstico realizado com os setores</w:t>
      </w:r>
      <w:r w:rsidR="006C45C3">
        <w:t>,</w:t>
      </w:r>
      <w:r w:rsidR="00154A08" w:rsidRPr="00564068">
        <w:t xml:space="preserve"> proposta de metas e de ações. Estabeleceu-se que para agilizar o processo a análise pelo grupo </w:t>
      </w:r>
      <w:r w:rsidR="00EC57C7" w:rsidRPr="00564068">
        <w:t xml:space="preserve">seria realizada a partir </w:t>
      </w:r>
      <w:r w:rsidR="00107451" w:rsidRPr="00564068">
        <w:t xml:space="preserve">dessa compilação. </w:t>
      </w:r>
    </w:p>
    <w:p w:rsidR="002B1F34" w:rsidRPr="00564068" w:rsidRDefault="00EC57C7" w:rsidP="00564068">
      <w:pPr>
        <w:ind w:firstLine="708"/>
        <w:jc w:val="both"/>
      </w:pPr>
      <w:r w:rsidRPr="00564068">
        <w:t>Partiu-se então para a análise, inicialmente</w:t>
      </w:r>
      <w:r w:rsidR="00F90B19" w:rsidRPr="00564068">
        <w:t xml:space="preserve"> a Sra. Gabriela apresentou as grandes metas para contextualizar tudo que estava incluído no eixo qualidade de vida</w:t>
      </w:r>
      <w:r w:rsidR="00154A08" w:rsidRPr="00564068">
        <w:t>, explicou que todas elas estavam com porcentagem para poder comparar posteriormente se haviam sido atingidas ou não.</w:t>
      </w:r>
      <w:r w:rsidRPr="00564068">
        <w:t xml:space="preserve"> </w:t>
      </w:r>
      <w:r w:rsidR="00F90B19" w:rsidRPr="00564068">
        <w:t>O Sr. Carlos alertou que tinha percebido que algumas metas não seriam facilmente quantificáveis</w:t>
      </w:r>
      <w:r w:rsidRPr="00564068">
        <w:t xml:space="preserve">. </w:t>
      </w:r>
      <w:r w:rsidR="00154A08" w:rsidRPr="00564068">
        <w:t>A Sra. Gabriela e a Sra. Carolina colocaram que</w:t>
      </w:r>
      <w:r w:rsidRPr="00564068">
        <w:t xml:space="preserve"> para essas metas a </w:t>
      </w:r>
      <w:r w:rsidR="00D76946" w:rsidRPr="00564068">
        <w:t>ideia é fazer pesquisas prévias, para que depois possa se comparar.  Nesse sentido, o Sr. Carlos falou que seria difícil medir o assédio moral, pois muitos</w:t>
      </w:r>
      <w:r w:rsidR="008045EA" w:rsidRPr="00564068">
        <w:t xml:space="preserve"> nem sabem </w:t>
      </w:r>
      <w:r w:rsidR="00D76946" w:rsidRPr="00564068">
        <w:t xml:space="preserve">do que se trata e muitos processos não são abertos e as denúncias muitas vezes não são contabilizadas. </w:t>
      </w:r>
      <w:r w:rsidR="00154A08" w:rsidRPr="00564068">
        <w:t>Concordando  a Sra. Bete salientou a importância de conceituar o termo assédio moral, favo</w:t>
      </w:r>
      <w:r w:rsidR="006C45C3">
        <w:t>recendo um esclarecimento. O P</w:t>
      </w:r>
      <w:r w:rsidR="00154A08" w:rsidRPr="00564068">
        <w:t>rof. Fernando sugere a criação de canais de pesquisa, tornando uma situação confortável para o aluno.</w:t>
      </w:r>
      <w:r w:rsidR="00A27EB2" w:rsidRPr="00564068">
        <w:t xml:space="preserve"> O Sr. Carlos comenta a importância da segurança para o aluno, podendo criar uma estância imparcial, ho</w:t>
      </w:r>
      <w:r w:rsidR="00D76946" w:rsidRPr="00564068">
        <w:t>je não há um fluxo para o assédio moral dentro da UFSC. Nesse momento entende</w:t>
      </w:r>
      <w:r w:rsidR="00A27EB2" w:rsidRPr="00564068">
        <w:t>u</w:t>
      </w:r>
      <w:r w:rsidR="00D76946" w:rsidRPr="00564068">
        <w:t xml:space="preserve">-se pertinente criar uma ação para que </w:t>
      </w:r>
      <w:r w:rsidR="00A27EB2" w:rsidRPr="00564068">
        <w:t>a comunidade acadêmica</w:t>
      </w:r>
      <w:r w:rsidR="00D76946" w:rsidRPr="00564068">
        <w:t xml:space="preserve"> to</w:t>
      </w:r>
      <w:r w:rsidR="00A27EB2" w:rsidRPr="00564068">
        <w:t>ma</w:t>
      </w:r>
      <w:r w:rsidR="00D76946" w:rsidRPr="00564068">
        <w:t xml:space="preserve">sse conhecimento do significado de assédio moral </w:t>
      </w:r>
      <w:r w:rsidR="00A27EB2" w:rsidRPr="00564068">
        <w:t xml:space="preserve">também criar um fluxo para “denúncias”. </w:t>
      </w:r>
      <w:r w:rsidR="00107451" w:rsidRPr="00564068">
        <w:t>Além disso,</w:t>
      </w:r>
      <w:r w:rsidR="00A27EB2" w:rsidRPr="00564068">
        <w:t xml:space="preserve"> e</w:t>
      </w:r>
      <w:r w:rsidR="00D76946" w:rsidRPr="00564068">
        <w:t>nquanto</w:t>
      </w:r>
      <w:r w:rsidR="00107451" w:rsidRPr="00564068">
        <w:t xml:space="preserve"> </w:t>
      </w:r>
      <w:r w:rsidR="00A27EB2" w:rsidRPr="00564068">
        <w:t>a quantificação das ocorrências</w:t>
      </w:r>
      <w:r w:rsidR="00D76946" w:rsidRPr="00564068">
        <w:t xml:space="preserve"> não consegue ser realizada com exatidão optou-se por manter a meta </w:t>
      </w:r>
      <w:r w:rsidR="00A27EB2" w:rsidRPr="00564068">
        <w:t>com a porcentagem</w:t>
      </w:r>
      <w:r w:rsidR="00D76946" w:rsidRPr="00564068">
        <w:t xml:space="preserve"> e realizar pesquisas para poder medi-la. O Sr. Carlos comento</w:t>
      </w:r>
      <w:r w:rsidR="000A1767" w:rsidRPr="00564068">
        <w:t xml:space="preserve">u também que já há uma comissão representativa </w:t>
      </w:r>
      <w:r w:rsidR="00D76946" w:rsidRPr="00564068">
        <w:t xml:space="preserve">que </w:t>
      </w:r>
      <w:r w:rsidR="00A27EB2" w:rsidRPr="00564068">
        <w:t>acabou de ser</w:t>
      </w:r>
      <w:r w:rsidR="00D76946" w:rsidRPr="00564068">
        <w:t xml:space="preserve"> criada </w:t>
      </w:r>
      <w:r w:rsidR="000A1767" w:rsidRPr="00564068">
        <w:t>com</w:t>
      </w:r>
      <w:r w:rsidR="00D76946" w:rsidRPr="00564068">
        <w:t xml:space="preserve"> a finalidade </w:t>
      </w:r>
      <w:r w:rsidR="000A1767" w:rsidRPr="00564068">
        <w:t xml:space="preserve">de combater </w:t>
      </w:r>
      <w:r w:rsidR="00D76946" w:rsidRPr="00564068">
        <w:t>o assédio moral. Acordou-se que as ações do PLS seriam baseadas nas ideias dessa comissão que seriam trazidas posteriormente para</w:t>
      </w:r>
      <w:r w:rsidR="000A1767" w:rsidRPr="00564068">
        <w:t xml:space="preserve"> a comissão de sustentabilidade, antes da finalização do PLS. Também </w:t>
      </w:r>
      <w:r w:rsidR="00A27EB2" w:rsidRPr="00564068">
        <w:t>acordou-se colocar como uma das ações do</w:t>
      </w:r>
      <w:r w:rsidR="000A1767" w:rsidRPr="00564068">
        <w:t xml:space="preserve"> PLS </w:t>
      </w:r>
      <w:r w:rsidR="00A27EB2" w:rsidRPr="00564068">
        <w:t>instituir essa comissão</w:t>
      </w:r>
      <w:r w:rsidR="00AC1433">
        <w:t xml:space="preserve"> como permanente</w:t>
      </w:r>
      <w:r w:rsidR="00A27EB2" w:rsidRPr="00564068">
        <w:t>.</w:t>
      </w:r>
    </w:p>
    <w:p w:rsidR="000A1767" w:rsidRPr="00564068" w:rsidRDefault="00A27EB2" w:rsidP="00564068">
      <w:pPr>
        <w:ind w:firstLine="708"/>
        <w:jc w:val="both"/>
      </w:pPr>
      <w:r w:rsidRPr="00564068">
        <w:t xml:space="preserve">Nesse momento, a </w:t>
      </w:r>
      <w:r w:rsidR="000A1767" w:rsidRPr="00564068">
        <w:t xml:space="preserve">Sra. Carolina explicou que seria importante seguirmos a ordem, e passou-se para a análise da Meta 1. Sobre ela o grupo achou importante especificar que </w:t>
      </w:r>
      <w:r w:rsidR="000A1767" w:rsidRPr="00564068">
        <w:lastRenderedPageBreak/>
        <w:t xml:space="preserve">tratava-se dos afastamentos dos servidores e não dos alunos. Com relação a ação 1 , o Sr. Carlos  considerou a ação um pouco vaga e explicou que  já haviam sido realizados os laudos de periculosidade e insalubridade dos ambientes da UFSC, portanto essa ação não seria mais necessária. Explicou também que nas instituições celetistas as organizações tem que ter o PPRA, embora </w:t>
      </w:r>
      <w:r w:rsidRPr="00564068">
        <w:t xml:space="preserve">em autarquias, como a UFSC, </w:t>
      </w:r>
      <w:r w:rsidR="000A1767" w:rsidRPr="00564068">
        <w:t xml:space="preserve">não seja obrigatório. </w:t>
      </w:r>
      <w:r w:rsidRPr="00564068">
        <w:t>Disse também que o</w:t>
      </w:r>
      <w:r w:rsidR="00107451" w:rsidRPr="00564068">
        <w:t xml:space="preserve"> </w:t>
      </w:r>
      <w:r w:rsidR="000A1767" w:rsidRPr="00564068">
        <w:t xml:space="preserve">PPRA estuda quais as atividades que </w:t>
      </w:r>
      <w:r w:rsidRPr="00564068">
        <w:t>são passíveis de risco</w:t>
      </w:r>
      <w:r w:rsidR="000A1767" w:rsidRPr="00564068">
        <w:t xml:space="preserve"> e não só aquelas </w:t>
      </w:r>
      <w:r w:rsidRPr="00564068">
        <w:t>condições que estão na legislação.  O Sr. Carlos informou que no seu departamento estava-se conversando sobre a inclusão</w:t>
      </w:r>
      <w:r w:rsidR="00107451" w:rsidRPr="00564068">
        <w:t xml:space="preserve"> </w:t>
      </w:r>
      <w:r w:rsidRPr="00564068">
        <w:t xml:space="preserve">dessa ação no Planejamento. Dessa forma, a </w:t>
      </w:r>
      <w:r w:rsidR="000A1767" w:rsidRPr="00564068">
        <w:t>comissão optou por incluir a ação “</w:t>
      </w:r>
      <w:r w:rsidR="00107451" w:rsidRPr="00564068">
        <w:rPr>
          <w:rFonts w:eastAsia="Calibri"/>
          <w:color w:val="000000"/>
        </w:rPr>
        <w:t>Implantar programa de gestão de riscos ambientais (saúde/acidentes);</w:t>
      </w:r>
      <w:r w:rsidR="000A1767" w:rsidRPr="00564068">
        <w:t>” para incentivar o departamento</w:t>
      </w:r>
      <w:r w:rsidR="008045EA" w:rsidRPr="00564068">
        <w:t xml:space="preserve"> </w:t>
      </w:r>
      <w:r w:rsidR="000A1767" w:rsidRPr="00564068">
        <w:t>nesse sentido.</w:t>
      </w:r>
    </w:p>
    <w:p w:rsidR="00D87930" w:rsidRPr="00564068" w:rsidRDefault="00D87930" w:rsidP="00564068">
      <w:pPr>
        <w:ind w:firstLine="708"/>
        <w:jc w:val="both"/>
      </w:pPr>
      <w:r w:rsidRPr="00564068">
        <w:t xml:space="preserve">Com relação </w:t>
      </w:r>
      <w:r w:rsidR="00AC1433" w:rsidRPr="00564068">
        <w:t>à</w:t>
      </w:r>
      <w:r w:rsidRPr="00564068">
        <w:t xml:space="preserve"> ação “</w:t>
      </w:r>
      <w:r w:rsidR="00107451" w:rsidRPr="00564068">
        <w:t>Realizar periodicamente atividades físicas laborais destinadas aos servidores da UFSC;</w:t>
      </w:r>
      <w:r w:rsidRPr="00564068">
        <w:t xml:space="preserve"> </w:t>
      </w:r>
      <w:r w:rsidR="00A27EB2" w:rsidRPr="00564068">
        <w:t>a Sra. Thai</w:t>
      </w:r>
      <w:r w:rsidR="00AC1433">
        <w:t>a</w:t>
      </w:r>
      <w:r w:rsidR="00A27EB2" w:rsidRPr="00564068">
        <w:t xml:space="preserve">nna sugeriu que a </w:t>
      </w:r>
      <w:r w:rsidRPr="00564068">
        <w:t>atividade laboral poderia ser um projeto</w:t>
      </w:r>
      <w:r w:rsidR="00E73857" w:rsidRPr="00564068">
        <w:t xml:space="preserve"> institucional </w:t>
      </w:r>
      <w:r w:rsidRPr="00564068">
        <w:t>de extensão do CDS. No entanto, foi colocado que seria difícil fazer atividades lab</w:t>
      </w:r>
      <w:r w:rsidR="00E73857" w:rsidRPr="00564068">
        <w:t>orais para todos da UFSC</w:t>
      </w:r>
      <w:r w:rsidR="00A27EB2" w:rsidRPr="00564068">
        <w:t>, pois o contingente é muito grande.</w:t>
      </w:r>
      <w:r w:rsidR="00E73857" w:rsidRPr="00564068">
        <w:t xml:space="preserve"> Para subsidiar isso a Sra. Leila deu a ideia de cap</w:t>
      </w:r>
      <w:r w:rsidR="00825970" w:rsidRPr="00564068">
        <w:t>a</w:t>
      </w:r>
      <w:r w:rsidR="00E73857" w:rsidRPr="00564068">
        <w:t>citações para que a própria pessoal fizesse no setor, o Sr. Carlos alertou que essa atividade só poderia ser realizada por profissionais habilitados</w:t>
      </w:r>
      <w:r w:rsidR="00A27EB2" w:rsidRPr="00564068">
        <w:t xml:space="preserve"> e que precisaria de apoio financeiro.  A Sra.</w:t>
      </w:r>
      <w:r w:rsidR="00825970" w:rsidRPr="00564068">
        <w:t xml:space="preserve"> Th</w:t>
      </w:r>
      <w:r w:rsidR="00F9406D" w:rsidRPr="00564068">
        <w:t>ai</w:t>
      </w:r>
      <w:r w:rsidR="00825970" w:rsidRPr="00564068">
        <w:t>an</w:t>
      </w:r>
      <w:r w:rsidR="008045EA" w:rsidRPr="00564068">
        <w:t>n</w:t>
      </w:r>
      <w:r w:rsidR="00825970" w:rsidRPr="00564068">
        <w:t>a tam</w:t>
      </w:r>
      <w:r w:rsidR="00E73857" w:rsidRPr="00564068">
        <w:t xml:space="preserve">bém lembrou que poderia ter </w:t>
      </w:r>
      <w:r w:rsidR="00A27EB2" w:rsidRPr="00564068">
        <w:t xml:space="preserve">alguma atividade também para os alunos, pois esses ficam sentados o dia inteiro em cadeiras desconfortáveis. </w:t>
      </w:r>
      <w:r w:rsidR="00E73857" w:rsidRPr="00564068">
        <w:t xml:space="preserve"> </w:t>
      </w:r>
      <w:r w:rsidR="00736ACF" w:rsidRPr="00564068">
        <w:t>Além da ação da implementação do projeto de extensão, para ajudar, devido ao grande contingente</w:t>
      </w:r>
      <w:r w:rsidR="00AC1433">
        <w:t>,</w:t>
      </w:r>
      <w:r w:rsidR="00736ACF" w:rsidRPr="00564068">
        <w:t xml:space="preserve"> </w:t>
      </w:r>
      <w:r w:rsidR="00A27EB2" w:rsidRPr="00564068">
        <w:t xml:space="preserve">definiu-se </w:t>
      </w:r>
      <w:r w:rsidR="00E73857" w:rsidRPr="00564068">
        <w:t>que</w:t>
      </w:r>
      <w:r w:rsidR="00825970" w:rsidRPr="00564068">
        <w:t xml:space="preserve"> </w:t>
      </w:r>
      <w:r w:rsidR="00E73857" w:rsidRPr="00564068">
        <w:t xml:space="preserve">seria criada uma nova ação para </w:t>
      </w:r>
      <w:r w:rsidR="00736ACF" w:rsidRPr="00564068">
        <w:t>realizar</w:t>
      </w:r>
      <w:r w:rsidR="00825970" w:rsidRPr="00564068">
        <w:t xml:space="preserve"> </w:t>
      </w:r>
      <w:r w:rsidR="00E73857" w:rsidRPr="00564068">
        <w:t>campanhas de atividades físicas</w:t>
      </w:r>
      <w:r w:rsidR="00A27EB2" w:rsidRPr="00564068">
        <w:t xml:space="preserve"> onde seriam</w:t>
      </w:r>
      <w:r w:rsidR="00E73857" w:rsidRPr="00564068">
        <w:t xml:space="preserve"> colocados vídeos de como alongar-se, entre outros. Essa</w:t>
      </w:r>
      <w:r w:rsidR="00825970" w:rsidRPr="00564068">
        <w:t>s</w:t>
      </w:r>
      <w:r w:rsidR="00E73857" w:rsidRPr="00564068">
        <w:t xml:space="preserve"> campanhas poderiam ser vinculadas no e-mail tanto de alunos, como d</w:t>
      </w:r>
      <w:r w:rsidR="00736ACF" w:rsidRPr="00564068">
        <w:t>os</w:t>
      </w:r>
      <w:r w:rsidR="00E73857" w:rsidRPr="00564068">
        <w:t xml:space="preserve"> servidores.</w:t>
      </w:r>
    </w:p>
    <w:p w:rsidR="00E73857" w:rsidRPr="00564068" w:rsidRDefault="00E73857" w:rsidP="00564068">
      <w:pPr>
        <w:ind w:firstLine="708"/>
        <w:jc w:val="both"/>
      </w:pPr>
      <w:r w:rsidRPr="00564068">
        <w:t xml:space="preserve">Com relação </w:t>
      </w:r>
      <w:r w:rsidR="00AC1433" w:rsidRPr="00564068">
        <w:t>à</w:t>
      </w:r>
      <w:r w:rsidRPr="00564068">
        <w:t xml:space="preserve"> ação </w:t>
      </w:r>
      <w:r w:rsidR="00107451" w:rsidRPr="00564068">
        <w:t>“Regulamentar orientações aos requisitantes de materiais e equipamentos para o atendimento no mínimo aos critérios ergonômicos indicados pela ABNT e proativamente aos demais itens de conforto ergonômicos”</w:t>
      </w:r>
      <w:r w:rsidRPr="00564068">
        <w:t xml:space="preserve"> a Sra. Gabriela lembrou que  o DCOM nos últimos pregões de mobiliário já havia incluído com o auxílio de arquitetos todas as legislações obrigatórias, a Sra</w:t>
      </w:r>
      <w:r w:rsidR="00736ACF" w:rsidRPr="00564068">
        <w:t>.</w:t>
      </w:r>
      <w:r w:rsidRPr="00564068">
        <w:t xml:space="preserve"> Leila lembrou que  seria interessante incluir também as que não fossem obrigatórias, porque a ergonomia e a qualidade de vida </w:t>
      </w:r>
      <w:r w:rsidR="008D4B2F" w:rsidRPr="00564068">
        <w:t xml:space="preserve">vão </w:t>
      </w:r>
      <w:r w:rsidRPr="00564068">
        <w:t xml:space="preserve">muito além da legislação. O </w:t>
      </w:r>
      <w:r w:rsidR="00736ACF" w:rsidRPr="00564068">
        <w:t xml:space="preserve">Sr. </w:t>
      </w:r>
      <w:r w:rsidRPr="00564068">
        <w:t xml:space="preserve">Rodrigo mencionou que o Setic também está analisando essa questões na compra de seus equipamentos, </w:t>
      </w:r>
      <w:r w:rsidR="00736ACF" w:rsidRPr="00564068">
        <w:t>os</w:t>
      </w:r>
      <w:r w:rsidRPr="00564068">
        <w:t xml:space="preserve"> computadores não ser</w:t>
      </w:r>
      <w:r w:rsidR="00736ACF" w:rsidRPr="00564068">
        <w:t>ão mais</w:t>
      </w:r>
      <w:r w:rsidR="008D4B2F" w:rsidRPr="00564068">
        <w:t xml:space="preserve"> all-in-one, por questões ergonômicas</w:t>
      </w:r>
      <w:r w:rsidR="00AC1433">
        <w:t xml:space="preserve"> e custos</w:t>
      </w:r>
      <w:r w:rsidR="008D4B2F" w:rsidRPr="00564068">
        <w:t xml:space="preserve">.  A Sra. Leila comenta sobre a criação de um grupo para padronizar e estudar o mobiliário para uso da ergonomia definindo os padrões para compras ergonômicas, para orientar os pedidos e </w:t>
      </w:r>
      <w:r w:rsidR="00AC1433">
        <w:t xml:space="preserve">que nesses poderiam participar </w:t>
      </w:r>
      <w:r w:rsidR="008D4B2F" w:rsidRPr="00564068">
        <w:t xml:space="preserve">os laboratórios da Engenharia de Produção e Arquitetura . </w:t>
      </w:r>
      <w:r w:rsidRPr="00564068">
        <w:t xml:space="preserve">Por fim, definiu-se como nova meta </w:t>
      </w:r>
      <w:r w:rsidRPr="006B082A">
        <w:t>“</w:t>
      </w:r>
      <w:r w:rsidR="006B082A" w:rsidRPr="006B082A">
        <w:t>Definir padrões ergonômicos para materiais e equipamentos que atendam no mínimo a legislação vigente</w:t>
      </w:r>
      <w:r w:rsidRPr="006B082A">
        <w:t xml:space="preserve">”, </w:t>
      </w:r>
      <w:r w:rsidRPr="00564068">
        <w:t>porque assim poderia ser criada uma comissão para incluir as normas ergonômicas além do que é solicitado na legislação, essa inclus</w:t>
      </w:r>
      <w:r w:rsidR="008D4B2F" w:rsidRPr="00564068">
        <w:t xml:space="preserve">ão seria realizada pelo DCOM dentro do processo de compras. </w:t>
      </w:r>
      <w:r w:rsidRPr="00564068">
        <w:t xml:space="preserve"> A Sra</w:t>
      </w:r>
      <w:r w:rsidR="00107451" w:rsidRPr="00564068">
        <w:t>.</w:t>
      </w:r>
      <w:r w:rsidRPr="00564068">
        <w:t xml:space="preserve"> Thai</w:t>
      </w:r>
      <w:r w:rsidR="00825970" w:rsidRPr="00564068">
        <w:t>a</w:t>
      </w:r>
      <w:r w:rsidRPr="00564068">
        <w:t>nna lembrou também que seria importante adquirir equipamentos ergonômicos para os alunos, tendo em conta o tempo que ficam em sala de aula. Sugeriu-se como nova meta “</w:t>
      </w:r>
      <w:r w:rsidR="00107451" w:rsidRPr="00564068">
        <w:t>Substituir progressivamente o mobiliário de sala de aula por mais ergonômicos</w:t>
      </w:r>
      <w:r w:rsidRPr="00564068">
        <w:t xml:space="preserve">”. O Sr. Carlos lembrou que na ULBRA, universidade particular, as carteiras tem </w:t>
      </w:r>
      <w:r w:rsidR="00AC1433">
        <w:t>regulagem</w:t>
      </w:r>
      <w:r w:rsidRPr="00564068">
        <w:t xml:space="preserve"> de altura, inclinação</w:t>
      </w:r>
      <w:r w:rsidR="00AC1433">
        <w:t>,</w:t>
      </w:r>
      <w:r w:rsidRPr="00564068">
        <w:t xml:space="preserve"> entre outros.</w:t>
      </w:r>
    </w:p>
    <w:p w:rsidR="00825970" w:rsidRPr="00564068" w:rsidRDefault="0030092E" w:rsidP="00564068">
      <w:pPr>
        <w:ind w:firstLine="708"/>
        <w:jc w:val="both"/>
      </w:pPr>
      <w:r w:rsidRPr="00564068">
        <w:lastRenderedPageBreak/>
        <w:t xml:space="preserve">Quanto a ação 3 </w:t>
      </w:r>
      <w:r w:rsidR="00825970" w:rsidRPr="00564068">
        <w:t>“</w:t>
      </w:r>
      <w:r w:rsidRPr="00564068">
        <w:t xml:space="preserve">Realizar campanhas periódicas de combate ao mosquito </w:t>
      </w:r>
      <w:r w:rsidRPr="00564068">
        <w:rPr>
          <w:i/>
        </w:rPr>
        <w:t>Aedes aegypti</w:t>
      </w:r>
      <w:r w:rsidRPr="00564068">
        <w:t>;</w:t>
      </w:r>
      <w:r w:rsidR="00825970" w:rsidRPr="00564068">
        <w:t xml:space="preserve">” </w:t>
      </w:r>
      <w:r w:rsidR="00736ACF" w:rsidRPr="00564068">
        <w:t xml:space="preserve"> o Prof. Fernando comenta que existe uma campanha anual de apoio, ele sugere que não podemos deixar somente para época de incidência do mosquito, tornando essa campanha semestral, o grupo concordou com o exposto.</w:t>
      </w:r>
    </w:p>
    <w:p w:rsidR="00E73857" w:rsidRPr="00564068" w:rsidRDefault="00E73857" w:rsidP="00564068">
      <w:pPr>
        <w:ind w:firstLine="708"/>
        <w:jc w:val="both"/>
      </w:pPr>
      <w:r w:rsidRPr="00564068">
        <w:t>Passou-se para a ação “</w:t>
      </w:r>
      <w:r w:rsidR="00A7395F" w:rsidRPr="00564068">
        <w:t>constituir equipe multiprofissional para acompanhar os servidores no primeiro afastamento para tratamento de saúde por transtornos mentais comuns</w:t>
      </w:r>
      <w:r w:rsidRPr="00564068">
        <w:t>” o Sr. Carlos explicou que já exist</w:t>
      </w:r>
      <w:r w:rsidR="008D4B2F" w:rsidRPr="00564068">
        <w:t xml:space="preserve">e uma </w:t>
      </w:r>
      <w:r w:rsidRPr="00564068">
        <w:t xml:space="preserve">equipe multidisciplinar para esses afastamentos. </w:t>
      </w:r>
      <w:r w:rsidR="008D4B2F" w:rsidRPr="00564068">
        <w:t xml:space="preserve"> Informou que esse </w:t>
      </w:r>
      <w:r w:rsidR="00AC1433">
        <w:t>acompanhamento</w:t>
      </w:r>
      <w:r w:rsidR="008D4B2F" w:rsidRPr="00564068">
        <w:t xml:space="preserve"> ocorre quando o servidor pede atestado, ele é </w:t>
      </w:r>
      <w:r w:rsidRPr="00564068">
        <w:t xml:space="preserve"> encaminhado para a equipe de psicologia</w:t>
      </w:r>
      <w:r w:rsidR="008D4B2F" w:rsidRPr="00564068">
        <w:t xml:space="preserve"> onde pode fazer até 8 sessões</w:t>
      </w:r>
      <w:r w:rsidRPr="00564068">
        <w:t xml:space="preserve">, o objetivo </w:t>
      </w:r>
      <w:r w:rsidR="00825970" w:rsidRPr="00564068">
        <w:t xml:space="preserve">era diminuir a reincidência e avaliar o servidor. </w:t>
      </w:r>
      <w:r w:rsidR="008D4B2F" w:rsidRPr="00564068">
        <w:t>C</w:t>
      </w:r>
      <w:r w:rsidR="00825970" w:rsidRPr="00564068">
        <w:t xml:space="preserve">omo já havia equipe constituída, </w:t>
      </w:r>
      <w:r w:rsidR="008D4B2F" w:rsidRPr="00564068">
        <w:t xml:space="preserve">essa parte poderia ser retirada da ação.  O Sr. Carlos, tendo em vista que uma das maiores causas de afastamentos junto com os problemas psicológicos são as questões osteomusculares colocou a possibilidade de </w:t>
      </w:r>
      <w:r w:rsidR="00825970" w:rsidRPr="00564068">
        <w:t>criação de</w:t>
      </w:r>
      <w:r w:rsidR="008D4B2F" w:rsidRPr="00564068">
        <w:t xml:space="preserve"> uma ação para que no primeiro</w:t>
      </w:r>
      <w:r w:rsidR="00825970" w:rsidRPr="00564068">
        <w:t xml:space="preserve"> afastamento osteomusculares</w:t>
      </w:r>
      <w:r w:rsidR="008D4B2F" w:rsidRPr="00564068">
        <w:t xml:space="preserve"> também seja realizado acompanhamento clínico pela UFSC. O grupo optou em criar uma ação nesse sentido para facilitar a ação.</w:t>
      </w:r>
    </w:p>
    <w:p w:rsidR="00825970" w:rsidRPr="00564068" w:rsidRDefault="00825970" w:rsidP="00564068">
      <w:pPr>
        <w:ind w:firstLine="708"/>
        <w:jc w:val="both"/>
      </w:pPr>
      <w:r w:rsidRPr="00564068">
        <w:t xml:space="preserve">A Sra. Camila também lembrou que </w:t>
      </w:r>
      <w:r w:rsidR="00B002EE" w:rsidRPr="00564068">
        <w:t xml:space="preserve">há muitas gestantes que sofrem na </w:t>
      </w:r>
      <w:r w:rsidRPr="00564068">
        <w:t xml:space="preserve">readaptação depois de um período de </w:t>
      </w:r>
      <w:r w:rsidR="00707CA3">
        <w:t>licença maternidade</w:t>
      </w:r>
      <w:r w:rsidRPr="00564068">
        <w:t xml:space="preserve">, e que </w:t>
      </w:r>
      <w:r w:rsidR="0030092E" w:rsidRPr="00564068">
        <w:t>poder-se-ia</w:t>
      </w:r>
      <w:r w:rsidR="00B002EE" w:rsidRPr="00564068">
        <w:t xml:space="preserve"> pensar em alguma ação para melhorar essa readaptação.</w:t>
      </w:r>
      <w:r w:rsidRPr="00564068">
        <w:t xml:space="preserve"> Nesse contexto também foi falado dos servidores que saem para licença</w:t>
      </w:r>
      <w:r w:rsidR="0030092E" w:rsidRPr="00564068">
        <w:t>s</w:t>
      </w:r>
      <w:r w:rsidRPr="00564068">
        <w:t xml:space="preserve"> maiores e também enfrentam problemas na readaptação. </w:t>
      </w:r>
      <w:r w:rsidR="00B002EE" w:rsidRPr="00564068">
        <w:t>Foi sugerida a criação da seguinte ação</w:t>
      </w:r>
      <w:r w:rsidRPr="00564068">
        <w:t xml:space="preserve"> “</w:t>
      </w:r>
      <w:r w:rsidR="00707CA3">
        <w:t>estudar a viabilidade</w:t>
      </w:r>
      <w:r w:rsidR="00A7395F" w:rsidRPr="00564068">
        <w:t xml:space="preserve"> de realizar o acompanhamento e suporte aos servidores que se afastaram por licença maternidade e/ou longo período</w:t>
      </w:r>
      <w:r w:rsidRPr="00564068">
        <w:t xml:space="preserve">”. Com relação </w:t>
      </w:r>
      <w:r w:rsidR="00196F6B" w:rsidRPr="00564068">
        <w:t>às</w:t>
      </w:r>
      <w:r w:rsidRPr="00564068">
        <w:t xml:space="preserve"> gestantes </w:t>
      </w:r>
      <w:r w:rsidR="00B002EE" w:rsidRPr="00564068">
        <w:t xml:space="preserve">surgiram algumas ideias que poderiam ser pensadas nesse estudo: mais vagas na creche, </w:t>
      </w:r>
      <w:r w:rsidRPr="00564068">
        <w:t xml:space="preserve">espaço para troca de informações, grupo de gestantes, </w:t>
      </w:r>
      <w:r w:rsidR="00196F6B">
        <w:t xml:space="preserve">liberação das chefias para a participação das gestantes nos grupos, </w:t>
      </w:r>
      <w:r w:rsidRPr="00564068">
        <w:t xml:space="preserve">entre outros. </w:t>
      </w:r>
    </w:p>
    <w:p w:rsidR="00F9406D" w:rsidRPr="00564068" w:rsidRDefault="00825970" w:rsidP="00564068">
      <w:pPr>
        <w:jc w:val="both"/>
      </w:pPr>
      <w:r w:rsidRPr="00564068">
        <w:tab/>
        <w:t>Quanto à ação “</w:t>
      </w:r>
      <w:r w:rsidR="00564068" w:rsidRPr="00564068">
        <w:t>fornecer vacina contra gripe e hepatites para todos os servidores.</w:t>
      </w:r>
      <w:r w:rsidRPr="00564068">
        <w:t xml:space="preserve">”, o Sr. Carlos falou que é complicado vacinar todo mundo e ressaltou que a legislação </w:t>
      </w:r>
      <w:r w:rsidR="00196F6B">
        <w:t xml:space="preserve">não </w:t>
      </w:r>
      <w:r w:rsidR="00B002EE" w:rsidRPr="00564068">
        <w:t xml:space="preserve">obriga.  Salienta que a UFSC possui problemas para estocar o material, adesão dos servidores, aplicação por profissionais adequados e que esses motivos inviabilizaram </w:t>
      </w:r>
      <w:r w:rsidR="00196F6B">
        <w:t>a</w:t>
      </w:r>
      <w:r w:rsidR="00B002EE" w:rsidRPr="00564068">
        <w:t xml:space="preserve"> ação no ano passado. T</w:t>
      </w:r>
      <w:r w:rsidRPr="00564068">
        <w:t>ambém foi levantado pelo Prof. Fernando que vacinar todo mundo pode ser ruim epide</w:t>
      </w:r>
      <w:r w:rsidR="008045EA" w:rsidRPr="00564068">
        <w:t>mi</w:t>
      </w:r>
      <w:r w:rsidRPr="00564068">
        <w:t xml:space="preserve">ologicamente. </w:t>
      </w:r>
      <w:r w:rsidR="00B002EE" w:rsidRPr="00564068">
        <w:t xml:space="preserve"> A Sra.</w:t>
      </w:r>
      <w:r w:rsidR="00E51093" w:rsidRPr="00564068">
        <w:t xml:space="preserve"> Tha</w:t>
      </w:r>
      <w:r w:rsidR="008045EA" w:rsidRPr="00564068">
        <w:t>ia</w:t>
      </w:r>
      <w:r w:rsidR="00E51093" w:rsidRPr="00564068">
        <w:t>nna lembro</w:t>
      </w:r>
      <w:r w:rsidR="00F9406D" w:rsidRPr="00564068">
        <w:t>u que</w:t>
      </w:r>
      <w:r w:rsidR="00E51093" w:rsidRPr="00564068">
        <w:t xml:space="preserve"> os alunos também </w:t>
      </w:r>
      <w:r w:rsidR="00B002EE" w:rsidRPr="00564068">
        <w:t>têm</w:t>
      </w:r>
      <w:r w:rsidR="00E51093" w:rsidRPr="00564068">
        <w:t xml:space="preserve"> que ser incentivados. </w:t>
      </w:r>
      <w:r w:rsidR="00F9406D" w:rsidRPr="00564068">
        <w:t>Como vacinar todo mundo envolve custos,</w:t>
      </w:r>
      <w:r w:rsidR="00B002EE" w:rsidRPr="00564068">
        <w:t xml:space="preserve"> a</w:t>
      </w:r>
      <w:r w:rsidR="00F9406D" w:rsidRPr="00564068">
        <w:t xml:space="preserve"> Sra. Leila</w:t>
      </w:r>
      <w:r w:rsidR="00B002EE" w:rsidRPr="00564068">
        <w:t xml:space="preserve"> acredita que é importante organizar um programa de incentivo a vacinação, através de campanhas, desconto junto aos planos de saúde e trazendo a vacina até a UFSC , facilitando o acesso para os servidores. L</w:t>
      </w:r>
      <w:r w:rsidR="00F9406D" w:rsidRPr="00564068">
        <w:t xml:space="preserve">embrou-se que </w:t>
      </w:r>
      <w:r w:rsidR="00B002EE" w:rsidRPr="00564068">
        <w:t>isso é realizado</w:t>
      </w:r>
      <w:r w:rsidR="00F9406D" w:rsidRPr="00564068">
        <w:t xml:space="preserve"> em várias instituições públicas. Por fim definiu-se como ação: “</w:t>
      </w:r>
      <w:r w:rsidR="00564068" w:rsidRPr="00564068">
        <w:t>criar ações que estimulem a vacinação da gripe e hepatites</w:t>
      </w:r>
      <w:r w:rsidR="00F9406D" w:rsidRPr="00564068">
        <w:t xml:space="preserve">”. Com relação </w:t>
      </w:r>
      <w:r w:rsidR="00196F6B" w:rsidRPr="00564068">
        <w:t>à</w:t>
      </w:r>
      <w:r w:rsidR="00F9406D" w:rsidRPr="00564068">
        <w:t xml:space="preserve"> hepatite o Sr. Carlos lembrou que seria pertinente que fosse feita uma campanha para o pessoal do CCS que tem contato com doentes e tem mais riscos de contrair essa doença</w:t>
      </w:r>
      <w:r w:rsidR="00564068" w:rsidRPr="00564068">
        <w:t>.</w:t>
      </w:r>
    </w:p>
    <w:p w:rsidR="00F9406D" w:rsidRPr="00564068" w:rsidRDefault="00F9406D" w:rsidP="00564068">
      <w:pPr>
        <w:ind w:firstLine="708"/>
        <w:jc w:val="both"/>
      </w:pPr>
      <w:r w:rsidRPr="00564068">
        <w:t xml:space="preserve">Quanto </w:t>
      </w:r>
      <w:r w:rsidR="002609BF" w:rsidRPr="00564068">
        <w:t>à</w:t>
      </w:r>
      <w:r w:rsidRPr="00564068">
        <w:t xml:space="preserve"> ação “</w:t>
      </w:r>
      <w:r w:rsidR="00564068" w:rsidRPr="00564068">
        <w:t>realizar exames periódicos em todos os servidores</w:t>
      </w:r>
      <w:r w:rsidRPr="00564068">
        <w:t>” o Sr. Carlos falou q</w:t>
      </w:r>
      <w:r w:rsidR="008045EA" w:rsidRPr="00564068">
        <w:t>u</w:t>
      </w:r>
      <w:r w:rsidRPr="00564068">
        <w:t xml:space="preserve">e a ação era pertinente e que a previsão de realização era o 2º semestre de 2016, que os exames periódicos estavam sendo licitados e que só dependia disso para serem realizados. </w:t>
      </w:r>
      <w:r w:rsidR="008045EA" w:rsidRPr="00564068">
        <w:t>Portanto, a meta poderia ser mantida.</w:t>
      </w:r>
    </w:p>
    <w:p w:rsidR="00F9406D" w:rsidRPr="00564068" w:rsidRDefault="008045EA" w:rsidP="00564068">
      <w:pPr>
        <w:ind w:firstLine="708"/>
        <w:jc w:val="both"/>
      </w:pPr>
      <w:r w:rsidRPr="00564068">
        <w:lastRenderedPageBreak/>
        <w:t xml:space="preserve">Na </w:t>
      </w:r>
      <w:r w:rsidR="00F9406D" w:rsidRPr="00564068">
        <w:t>ação “</w:t>
      </w:r>
      <w:r w:rsidR="00564068" w:rsidRPr="00564068">
        <w:t>realizar campanhas educativas com servidores e alunos sobre prevenção em saúde abordando prioritariamente as temáticas: diabetes, hipertensão, stress, obesidade, câncer de mama e próstata, drogas lícitas e ilícitas, DST</w:t>
      </w:r>
      <w:r w:rsidR="00F9406D" w:rsidRPr="00564068">
        <w:t xml:space="preserve">” o Sr. Carlos disse que as </w:t>
      </w:r>
      <w:r w:rsidRPr="00564068">
        <w:t>campanhas poderiam ser realizadas</w:t>
      </w:r>
      <w:r w:rsidR="00F9406D" w:rsidRPr="00564068">
        <w:t xml:space="preserve"> a partir das principais causas de afastamentos e das mais</w:t>
      </w:r>
      <w:r w:rsidRPr="00564068">
        <w:t xml:space="preserve"> impactantes</w:t>
      </w:r>
      <w:r w:rsidR="00F9406D" w:rsidRPr="00564068">
        <w:t xml:space="preserve"> também, ac</w:t>
      </w:r>
      <w:r w:rsidRPr="00564068">
        <w:t>o</w:t>
      </w:r>
      <w:r w:rsidR="00F9406D" w:rsidRPr="00564068">
        <w:t xml:space="preserve">rdou-se de </w:t>
      </w:r>
      <w:r w:rsidRPr="00564068">
        <w:t xml:space="preserve">modificar a </w:t>
      </w:r>
      <w:r w:rsidR="00B002EE" w:rsidRPr="00564068">
        <w:t xml:space="preserve">ação </w:t>
      </w:r>
      <w:r w:rsidRPr="00564068">
        <w:t>nesse sentido.</w:t>
      </w:r>
    </w:p>
    <w:p w:rsidR="00E51093" w:rsidRPr="00564068" w:rsidRDefault="00564068" w:rsidP="00564068">
      <w:pPr>
        <w:ind w:firstLine="708"/>
        <w:jc w:val="both"/>
      </w:pPr>
      <w:r w:rsidRPr="00564068">
        <w:t>Na</w:t>
      </w:r>
      <w:r w:rsidR="00F9406D" w:rsidRPr="00564068">
        <w:t xml:space="preserve"> ação “</w:t>
      </w:r>
      <w:r w:rsidRPr="00564068">
        <w:t>realizar acompanhamento psicológico e social periódico em todos os servidores</w:t>
      </w:r>
      <w:r w:rsidR="00F9406D" w:rsidRPr="00564068">
        <w:t>”</w:t>
      </w:r>
      <w:r w:rsidRPr="00564068">
        <w:t>,</w:t>
      </w:r>
      <w:r w:rsidR="00F9406D" w:rsidRPr="00564068">
        <w:t xml:space="preserve"> o Sr. Carlos fa</w:t>
      </w:r>
      <w:r w:rsidR="008045EA" w:rsidRPr="00564068">
        <w:t>lou</w:t>
      </w:r>
      <w:r w:rsidR="00F9406D" w:rsidRPr="00564068">
        <w:t xml:space="preserve"> </w:t>
      </w:r>
      <w:r w:rsidR="008045EA" w:rsidRPr="00564068">
        <w:t>que</w:t>
      </w:r>
      <w:r w:rsidR="00F9406D" w:rsidRPr="00564068">
        <w:t xml:space="preserve"> a princípio o departamento não fazia, e que isso no momento seria inviável por ca</w:t>
      </w:r>
      <w:r w:rsidR="00B002EE" w:rsidRPr="00564068">
        <w:t>usa da quantidade de servidores</w:t>
      </w:r>
      <w:r w:rsidR="00057DD1">
        <w:t xml:space="preserve"> e</w:t>
      </w:r>
      <w:r w:rsidR="00B002EE" w:rsidRPr="00564068">
        <w:t xml:space="preserve"> que as psicólogas não eram para assistência.  A Sra.</w:t>
      </w:r>
      <w:r w:rsidR="008045EA" w:rsidRPr="00564068">
        <w:t xml:space="preserve"> T</w:t>
      </w:r>
      <w:r w:rsidR="00057DD1">
        <w:t>haia</w:t>
      </w:r>
      <w:r w:rsidR="00E51093" w:rsidRPr="00564068">
        <w:t>n</w:t>
      </w:r>
      <w:r w:rsidR="008045EA" w:rsidRPr="00564068">
        <w:t>n</w:t>
      </w:r>
      <w:r w:rsidR="00E51093" w:rsidRPr="00564068">
        <w:t xml:space="preserve">a lembrou </w:t>
      </w:r>
      <w:r w:rsidR="00B002EE" w:rsidRPr="00564068">
        <w:t>que os alunos sofrem muito com assédio moral e que seria importante que todos os profissionais passassem</w:t>
      </w:r>
      <w:r w:rsidR="0030092E" w:rsidRPr="00564068">
        <w:t xml:space="preserve"> </w:t>
      </w:r>
      <w:r w:rsidR="00B002EE" w:rsidRPr="00564068">
        <w:t>por acompanhamento psicológico e que se para realizar isso</w:t>
      </w:r>
      <w:r w:rsidR="0030092E" w:rsidRPr="00564068">
        <w:t xml:space="preserve"> </w:t>
      </w:r>
      <w:r w:rsidR="00B002EE" w:rsidRPr="00564068">
        <w:t xml:space="preserve">fosse necessário mais profissionais essa demanda deveria ser passada para a reitoria. </w:t>
      </w:r>
      <w:r w:rsidR="0030092E" w:rsidRPr="00564068">
        <w:t xml:space="preserve">O grupo concordou que poder-se-ia estudar a possibilidade de incluir no atendimento periódico a questão psicológica.  A Sra. Camila ressaltou a importância de levar a equipe de serviço social aos setores, divulgando sua existência. </w:t>
      </w:r>
      <w:r w:rsidR="00B002EE" w:rsidRPr="00564068">
        <w:t>O Sra. Carlos</w:t>
      </w:r>
      <w:r w:rsidR="0030092E" w:rsidRPr="00564068">
        <w:t xml:space="preserve"> que há três maneiras de um servidor ser encaminhado para o setor de psicologia</w:t>
      </w:r>
      <w:r w:rsidR="00E51093" w:rsidRPr="00564068">
        <w:t xml:space="preserve">: </w:t>
      </w:r>
      <w:r w:rsidR="0030092E" w:rsidRPr="00564068">
        <w:t>através de solicitação de alguém do setor do servidor, ouvidoria e</w:t>
      </w:r>
      <w:r w:rsidRPr="00564068">
        <w:t xml:space="preserve"> </w:t>
      </w:r>
      <w:r w:rsidR="00E51093" w:rsidRPr="00564068">
        <w:t>o próprio médi</w:t>
      </w:r>
      <w:r w:rsidR="008045EA" w:rsidRPr="00564068">
        <w:t>co que encaminha</w:t>
      </w:r>
      <w:r w:rsidR="0030092E" w:rsidRPr="00564068">
        <w:t>r</w:t>
      </w:r>
      <w:r w:rsidR="00057DD1">
        <w:t>.</w:t>
      </w:r>
      <w:r w:rsidR="00E51093" w:rsidRPr="00564068">
        <w:t xml:space="preserve"> </w:t>
      </w:r>
      <w:r w:rsidR="00057DD1" w:rsidRPr="00564068">
        <w:t>Também foi sugerido pela Sra. Leila cruzar os dados da ficha funcional dos ser</w:t>
      </w:r>
      <w:r w:rsidR="00057DD1">
        <w:t>vidores com os dados dos exames</w:t>
      </w:r>
      <w:r w:rsidR="00057DD1" w:rsidRPr="00564068">
        <w:t xml:space="preserve">. </w:t>
      </w:r>
      <w:r w:rsidR="008045EA" w:rsidRPr="00564068">
        <w:t>Por fim</w:t>
      </w:r>
      <w:r w:rsidR="0030092E" w:rsidRPr="00564068">
        <w:t>,</w:t>
      </w:r>
      <w:r w:rsidRPr="00564068">
        <w:t xml:space="preserve"> </w:t>
      </w:r>
      <w:r w:rsidR="008045EA" w:rsidRPr="00564068">
        <w:t xml:space="preserve">ficou definido </w:t>
      </w:r>
      <w:r w:rsidR="0030092E" w:rsidRPr="00564068">
        <w:t xml:space="preserve">a criação de algumas ações nesse sentido </w:t>
      </w:r>
      <w:r w:rsidRPr="00564068">
        <w:t xml:space="preserve">“Divulgar ao público a rede de suporte psicológico existente na UFSC, bem como procedimentos que devem ser realizados quando da suspeita de problemas psicológicos”, “Estudar a possibilidade </w:t>
      </w:r>
      <w:r w:rsidR="00057DD1">
        <w:t xml:space="preserve">de </w:t>
      </w:r>
      <w:r w:rsidRPr="00564068">
        <w:t>fazer exames psicológicos periódicos”, “Estudar a possibilidade de incluir no SIASS a avaliação funcional dos servidores”.</w:t>
      </w:r>
      <w:r w:rsidR="0030092E" w:rsidRPr="00564068">
        <w:t xml:space="preserve">  A Sra. Thainna solicitou para colocar em ata que achava que a ação deveria ser realizar exames psicológicos periódicos em todos os servidores, embora os outros membros do grupo </w:t>
      </w:r>
      <w:r w:rsidR="00057DD1" w:rsidRPr="00564068">
        <w:t>considerassem</w:t>
      </w:r>
      <w:r w:rsidR="0030092E" w:rsidRPr="00564068">
        <w:t xml:space="preserve"> nesse momento ser inviável, pois os servidores não iriam aderir. </w:t>
      </w:r>
    </w:p>
    <w:p w:rsidR="0030092E" w:rsidRPr="00564068" w:rsidRDefault="0030092E" w:rsidP="00564068">
      <w:pPr>
        <w:ind w:firstLine="708"/>
        <w:jc w:val="both"/>
      </w:pPr>
      <w:r w:rsidRPr="00564068">
        <w:t xml:space="preserve">Quanto </w:t>
      </w:r>
      <w:r w:rsidR="00057DD1" w:rsidRPr="00564068">
        <w:t>à</w:t>
      </w:r>
      <w:r w:rsidRPr="00564068">
        <w:t xml:space="preserve"> ação “</w:t>
      </w:r>
      <w:r w:rsidR="00564068" w:rsidRPr="00564068">
        <w:t>Oferecer aos servidores suporte psicológico durante o período de cessação de tabagismo</w:t>
      </w:r>
      <w:r w:rsidRPr="00564068">
        <w:t>” a Sra. Thaian</w:t>
      </w:r>
      <w:r w:rsidR="00057DD1">
        <w:t>n</w:t>
      </w:r>
      <w:r w:rsidRPr="00564068">
        <w:t xml:space="preserve">a comenta que o SUS fornece esse acompanhamento, o problema deve ser diagnosticado e encaminhado para a unidade de saúde.  O grupo optou em tirar essa ação e incluir em ações que divulguem a existência desse suporte. </w:t>
      </w:r>
    </w:p>
    <w:p w:rsidR="002B1F34" w:rsidRPr="00564068" w:rsidRDefault="002B1F34" w:rsidP="00E51093"/>
    <w:p w:rsidR="00740ABF" w:rsidRPr="00564068" w:rsidRDefault="00740ABF" w:rsidP="00740ABF">
      <w:pPr>
        <w:spacing w:line="360" w:lineRule="auto"/>
        <w:jc w:val="both"/>
        <w:rPr>
          <w:rFonts w:cs="Arial"/>
          <w:b/>
          <w:u w:val="single"/>
        </w:rPr>
      </w:pPr>
      <w:r w:rsidRPr="00564068">
        <w:rPr>
          <w:rFonts w:cs="Arial"/>
          <w:b/>
          <w:u w:val="single"/>
        </w:rPr>
        <w:t>Deliberações:</w:t>
      </w:r>
    </w:p>
    <w:p w:rsidR="00740ABF" w:rsidRPr="00564068" w:rsidRDefault="00740ABF" w:rsidP="00740ABF">
      <w:pPr>
        <w:spacing w:line="360" w:lineRule="auto"/>
        <w:jc w:val="both"/>
        <w:rPr>
          <w:rFonts w:cs="Arial"/>
        </w:rPr>
      </w:pPr>
      <w:r w:rsidRPr="00564068">
        <w:rPr>
          <w:rFonts w:cs="Arial"/>
        </w:rPr>
        <w:t xml:space="preserve"> - Ficou combinado que a próxima reunião seria agendada para o dia 28 de janeiro no horário das 08h00min às 10h00min e que seria dado continuidade a análise do Eixo Qualidade de Vida</w:t>
      </w:r>
      <w:r w:rsidR="008045EA" w:rsidRPr="00564068">
        <w:rPr>
          <w:rFonts w:cs="Arial"/>
        </w:rPr>
        <w:t>.</w:t>
      </w:r>
    </w:p>
    <w:p w:rsidR="00740ABF" w:rsidRPr="00564068" w:rsidRDefault="00740ABF" w:rsidP="00740ABF">
      <w:pPr>
        <w:spacing w:line="360" w:lineRule="auto"/>
        <w:jc w:val="both"/>
        <w:rPr>
          <w:rFonts w:cs="Arial"/>
          <w:b/>
          <w:u w:val="single"/>
        </w:rPr>
      </w:pPr>
      <w:r w:rsidRPr="00564068">
        <w:rPr>
          <w:rFonts w:cs="Arial"/>
          <w:b/>
          <w:u w:val="single"/>
        </w:rPr>
        <w:t xml:space="preserve">Encaminhamentos: 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3652"/>
      </w:tblGrid>
      <w:tr w:rsidR="00740ABF" w:rsidRPr="00564068" w:rsidTr="00740ABF">
        <w:trPr>
          <w:trHeight w:val="80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F" w:rsidRPr="00564068" w:rsidRDefault="00740ABF">
            <w:pPr>
              <w:spacing w:line="360" w:lineRule="auto"/>
              <w:jc w:val="both"/>
              <w:rPr>
                <w:rFonts w:eastAsia="Times New Roman" w:cs="Arial"/>
                <w:b/>
              </w:rPr>
            </w:pPr>
            <w:r w:rsidRPr="00564068">
              <w:rPr>
                <w:rFonts w:cs="Arial"/>
                <w:b/>
              </w:rPr>
              <w:t>Encaminhamento por setor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F" w:rsidRPr="00564068" w:rsidRDefault="00740ABF">
            <w:pPr>
              <w:spacing w:line="360" w:lineRule="auto"/>
              <w:jc w:val="both"/>
              <w:rPr>
                <w:rFonts w:eastAsia="Times New Roman" w:cs="Arial"/>
                <w:b/>
              </w:rPr>
            </w:pPr>
            <w:r w:rsidRPr="00564068">
              <w:rPr>
                <w:rFonts w:cs="Arial"/>
                <w:b/>
              </w:rPr>
              <w:t>Responsável</w:t>
            </w:r>
          </w:p>
        </w:tc>
      </w:tr>
      <w:tr w:rsidR="00740ABF" w:rsidRPr="00564068" w:rsidTr="00740ABF">
        <w:trPr>
          <w:trHeight w:val="29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F" w:rsidRPr="00564068" w:rsidRDefault="00740ABF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Utilizar as ações da comissão de assédio moral para fazer as metas.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F" w:rsidRPr="00564068" w:rsidRDefault="00107451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DAS</w:t>
            </w:r>
          </w:p>
        </w:tc>
      </w:tr>
      <w:tr w:rsidR="00740ABF" w:rsidRPr="00564068" w:rsidTr="00740ABF">
        <w:trPr>
          <w:trHeight w:val="29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564068" w:rsidRDefault="00107451" w:rsidP="008045EA">
            <w:r w:rsidRPr="00564068">
              <w:lastRenderedPageBreak/>
              <w:t>Trazer</w:t>
            </w:r>
            <w:r w:rsidR="008045EA" w:rsidRPr="00564068">
              <w:t xml:space="preserve"> representantes que pudessem contribuir com a discussão. </w:t>
            </w:r>
          </w:p>
          <w:p w:rsidR="00740ABF" w:rsidRPr="00564068" w:rsidRDefault="00740AB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F" w:rsidRPr="00564068" w:rsidRDefault="008045EA">
            <w:pPr>
              <w:spacing w:line="360" w:lineRule="auto"/>
              <w:jc w:val="both"/>
              <w:rPr>
                <w:rFonts w:cs="Arial"/>
              </w:rPr>
            </w:pPr>
            <w:r w:rsidRPr="00564068">
              <w:rPr>
                <w:rFonts w:cs="Arial"/>
              </w:rPr>
              <w:t>CGA</w:t>
            </w:r>
          </w:p>
        </w:tc>
      </w:tr>
      <w:tr w:rsidR="00107451" w:rsidRPr="00564068" w:rsidTr="00740ABF">
        <w:trPr>
          <w:trHeight w:val="29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1" w:rsidRPr="00564068" w:rsidRDefault="00107451" w:rsidP="008045EA">
            <w:r w:rsidRPr="00564068">
              <w:t>Ler previamente  a compilação  realizada pela CGA visando agilizar a discussão.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1" w:rsidRPr="00564068" w:rsidRDefault="006B082A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Todos</w:t>
            </w:r>
            <w:bookmarkStart w:id="0" w:name="_GoBack"/>
            <w:bookmarkEnd w:id="0"/>
          </w:p>
        </w:tc>
      </w:tr>
      <w:tr w:rsidR="00057DD1" w:rsidRPr="00564068" w:rsidTr="00740ABF">
        <w:trPr>
          <w:trHeight w:val="29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1" w:rsidRPr="00564068" w:rsidRDefault="00057DD1" w:rsidP="00057DD1">
            <w:pPr>
              <w:tabs>
                <w:tab w:val="left" w:pos="0"/>
              </w:tabs>
              <w:jc w:val="both"/>
            </w:pPr>
            <w:r>
              <w:t>Convidar o Frei para a próxima reunião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1" w:rsidRPr="00564068" w:rsidRDefault="00057DD1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Thaianna</w:t>
            </w:r>
          </w:p>
        </w:tc>
      </w:tr>
    </w:tbl>
    <w:p w:rsidR="00740ABF" w:rsidRPr="00564068" w:rsidRDefault="00740ABF" w:rsidP="00740ABF">
      <w:pPr>
        <w:spacing w:line="360" w:lineRule="auto"/>
        <w:jc w:val="both"/>
        <w:rPr>
          <w:rFonts w:eastAsia="Times New Roman" w:cs="Arial"/>
        </w:rPr>
      </w:pPr>
    </w:p>
    <w:p w:rsidR="008045EA" w:rsidRPr="00564068" w:rsidRDefault="00057DD1" w:rsidP="008045E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Em seguida, às 10</w:t>
      </w:r>
      <w:r w:rsidR="00740ABF" w:rsidRPr="00564068">
        <w:rPr>
          <w:rFonts w:cs="Arial"/>
        </w:rPr>
        <w:t xml:space="preserve">h50, não havendo mais nenhum assunto a ser tratado, a Sra. </w:t>
      </w:r>
      <w:r w:rsidR="008045EA" w:rsidRPr="00564068">
        <w:rPr>
          <w:rFonts w:cs="Arial"/>
        </w:rPr>
        <w:t>Gabriela Zampieri</w:t>
      </w:r>
      <w:r w:rsidR="00740ABF" w:rsidRPr="00564068">
        <w:rPr>
          <w:rFonts w:cs="Arial"/>
        </w:rPr>
        <w:t xml:space="preserve"> e a Sra. Nicole Lunardi lavraram a seguinte ata que, se aprovada, será assinada e disponibilizada em meio digital.</w:t>
      </w:r>
    </w:p>
    <w:p w:rsidR="00740ABF" w:rsidRPr="00564068" w:rsidRDefault="00740ABF" w:rsidP="008045EA">
      <w:pPr>
        <w:spacing w:line="360" w:lineRule="auto"/>
        <w:ind w:firstLine="708"/>
        <w:jc w:val="both"/>
        <w:rPr>
          <w:rFonts w:cs="Arial"/>
        </w:rPr>
      </w:pPr>
      <w:r w:rsidRPr="00564068">
        <w:rPr>
          <w:rFonts w:cs="Arial"/>
        </w:rPr>
        <w:t>Florianópolis,</w:t>
      </w:r>
      <w:r w:rsidR="008045EA" w:rsidRPr="00564068">
        <w:rPr>
          <w:rFonts w:cs="Arial"/>
        </w:rPr>
        <w:t>21</w:t>
      </w:r>
      <w:r w:rsidRPr="00564068">
        <w:rPr>
          <w:rFonts w:cs="Arial"/>
        </w:rPr>
        <w:t xml:space="preserve"> de </w:t>
      </w:r>
      <w:r w:rsidR="008045EA" w:rsidRPr="00564068">
        <w:rPr>
          <w:rFonts w:cs="Arial"/>
        </w:rPr>
        <w:t xml:space="preserve">janeiro </w:t>
      </w:r>
      <w:r w:rsidRPr="00564068">
        <w:rPr>
          <w:rFonts w:cs="Arial"/>
        </w:rPr>
        <w:t>de 201</w:t>
      </w:r>
      <w:r w:rsidR="008045EA" w:rsidRPr="00564068">
        <w:rPr>
          <w:rFonts w:cs="Arial"/>
        </w:rPr>
        <w:t>6</w:t>
      </w:r>
      <w:r w:rsidRPr="00564068">
        <w:rPr>
          <w:rFonts w:cs="Arial"/>
        </w:rPr>
        <w:t>.</w:t>
      </w:r>
    </w:p>
    <w:p w:rsidR="00740ABF" w:rsidRPr="00564068" w:rsidRDefault="00740ABF" w:rsidP="00E51093"/>
    <w:sectPr w:rsidR="00740ABF" w:rsidRPr="00564068" w:rsidSect="004F1B81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C5F"/>
    <w:multiLevelType w:val="hybridMultilevel"/>
    <w:tmpl w:val="CE6ED5EC"/>
    <w:lvl w:ilvl="0" w:tplc="D0643D9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93"/>
    <w:rsid w:val="00057DD1"/>
    <w:rsid w:val="000A1767"/>
    <w:rsid w:val="000C7870"/>
    <w:rsid w:val="00107451"/>
    <w:rsid w:val="00154A08"/>
    <w:rsid w:val="00196F6B"/>
    <w:rsid w:val="0022679B"/>
    <w:rsid w:val="002609BF"/>
    <w:rsid w:val="002B1F34"/>
    <w:rsid w:val="0030092E"/>
    <w:rsid w:val="004F1B81"/>
    <w:rsid w:val="004F5FD0"/>
    <w:rsid w:val="00564068"/>
    <w:rsid w:val="005903A7"/>
    <w:rsid w:val="006A2B51"/>
    <w:rsid w:val="006B082A"/>
    <w:rsid w:val="006C45C3"/>
    <w:rsid w:val="00707CA3"/>
    <w:rsid w:val="00736ACF"/>
    <w:rsid w:val="00740ABF"/>
    <w:rsid w:val="008045EA"/>
    <w:rsid w:val="00825970"/>
    <w:rsid w:val="008D4B2F"/>
    <w:rsid w:val="0098056C"/>
    <w:rsid w:val="00A27EB2"/>
    <w:rsid w:val="00A7395F"/>
    <w:rsid w:val="00AC1433"/>
    <w:rsid w:val="00B002EE"/>
    <w:rsid w:val="00D76946"/>
    <w:rsid w:val="00D87930"/>
    <w:rsid w:val="00E51093"/>
    <w:rsid w:val="00E73857"/>
    <w:rsid w:val="00EC57C7"/>
    <w:rsid w:val="00EE1F00"/>
    <w:rsid w:val="00F0481A"/>
    <w:rsid w:val="00F90B19"/>
    <w:rsid w:val="00F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1093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98056C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05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F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1093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98056C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05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F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36CB-FFFD-4903-8EE0-2114F8FC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2275</Words>
  <Characters>12289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ufsc-240800</dc:creator>
  <cp:lastModifiedBy>ufsc-240800</cp:lastModifiedBy>
  <cp:revision>5</cp:revision>
  <dcterms:created xsi:type="dcterms:W3CDTF">2016-01-26T12:31:00Z</dcterms:created>
  <dcterms:modified xsi:type="dcterms:W3CDTF">2016-01-26T15:32:00Z</dcterms:modified>
</cp:coreProperties>
</file>